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6C" w:rsidRPr="0075276C" w:rsidRDefault="0075276C" w:rsidP="001E1DC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5276C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75276C" w:rsidRPr="0075276C" w:rsidRDefault="00283880" w:rsidP="0028388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</w:t>
      </w:r>
      <w:r w:rsidR="0075276C" w:rsidRPr="0075276C">
        <w:rPr>
          <w:rFonts w:ascii="Times New Roman" w:hAnsi="Times New Roman" w:cs="Times New Roman"/>
          <w:b/>
          <w:bCs/>
          <w:sz w:val="28"/>
        </w:rPr>
        <w:t>ниципального образования</w:t>
      </w:r>
    </w:p>
    <w:p w:rsidR="0075276C" w:rsidRPr="0075276C" w:rsidRDefault="0075276C" w:rsidP="0028388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5276C">
        <w:rPr>
          <w:rFonts w:ascii="Times New Roman" w:hAnsi="Times New Roman" w:cs="Times New Roman"/>
          <w:b/>
          <w:bCs/>
          <w:sz w:val="28"/>
        </w:rPr>
        <w:t>Шестаковский сельсовет</w:t>
      </w:r>
    </w:p>
    <w:p w:rsidR="0075276C" w:rsidRPr="0075276C" w:rsidRDefault="0075276C" w:rsidP="0028388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5276C">
        <w:rPr>
          <w:rFonts w:ascii="Times New Roman" w:hAnsi="Times New Roman" w:cs="Times New Roman"/>
          <w:b/>
          <w:bCs/>
          <w:sz w:val="28"/>
        </w:rPr>
        <w:t>Ташлинского района</w:t>
      </w:r>
    </w:p>
    <w:p w:rsidR="0075276C" w:rsidRPr="0075276C" w:rsidRDefault="0075276C" w:rsidP="0028388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5276C">
        <w:rPr>
          <w:rFonts w:ascii="Times New Roman" w:hAnsi="Times New Roman" w:cs="Times New Roman"/>
          <w:b/>
          <w:bCs/>
          <w:sz w:val="28"/>
        </w:rPr>
        <w:t>Оренбургской области</w:t>
      </w:r>
    </w:p>
    <w:p w:rsidR="0075276C" w:rsidRPr="0075276C" w:rsidRDefault="0075276C" w:rsidP="00283880">
      <w:pPr>
        <w:pStyle w:val="1"/>
        <w:spacing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75276C">
        <w:rPr>
          <w:rFonts w:ascii="Times New Roman" w:eastAsiaTheme="minorEastAsia" w:hAnsi="Times New Roman" w:cs="Times New Roman"/>
          <w:color w:val="000000" w:themeColor="text1"/>
        </w:rPr>
        <w:t>ПОСТАНОВЛЕНИЕ</w:t>
      </w:r>
    </w:p>
    <w:p w:rsidR="0075276C" w:rsidRPr="0075276C" w:rsidRDefault="001E1DC3" w:rsidP="001E1DC3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14.03</w:t>
      </w:r>
      <w:r w:rsidR="0075276C" w:rsidRPr="007527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.2022 г.   №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31</w:t>
      </w:r>
      <w:r w:rsidR="0075276C" w:rsidRPr="007527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214039" w:rsidRPr="00283880" w:rsidRDefault="0075276C" w:rsidP="001E1DC3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880">
        <w:rPr>
          <w:rFonts w:ascii="Times New Roman" w:hAnsi="Times New Roman" w:cs="Times New Roman"/>
          <w:sz w:val="28"/>
          <w:szCs w:val="28"/>
        </w:rPr>
        <w:t>с. Шестаковка</w:t>
      </w:r>
      <w:r w:rsidR="00A23157" w:rsidRPr="002838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4039" w:rsidRPr="00214039" w:rsidRDefault="00214039" w:rsidP="00214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39" w:rsidRPr="00214039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методики</w:t>
      </w:r>
    </w:p>
    <w:p w:rsidR="00283880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прогнозирования поступлений </w:t>
      </w:r>
    </w:p>
    <w:p w:rsidR="0075276C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доходов в бюджет </w:t>
      </w:r>
      <w:proofErr w:type="gramStart"/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3880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</w:t>
      </w:r>
      <w:r w:rsidR="00752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Шестаковский </w:t>
      </w: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сельсове</w:t>
      </w:r>
      <w:r w:rsidR="00283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</w:p>
    <w:p w:rsidR="00283880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52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Ташлинского </w:t>
      </w: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Оренбургской области,</w:t>
      </w:r>
    </w:p>
    <w:p w:rsidR="00283880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бюджетные полномочия главного </w:t>
      </w:r>
    </w:p>
    <w:p w:rsidR="0075276C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администратора</w:t>
      </w:r>
      <w:proofErr w:type="gramEnd"/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которым осуществляет </w:t>
      </w:r>
    </w:p>
    <w:p w:rsidR="0075276C" w:rsidRDefault="001E1DC3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214039"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gramStart"/>
      <w:r w:rsidR="00214039"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75276C" w:rsidRDefault="00214039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752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Шестаковский</w:t>
      </w:r>
    </w:p>
    <w:p w:rsidR="0075276C" w:rsidRDefault="0075276C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14039"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сельсовет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Ташлинского</w:t>
      </w:r>
    </w:p>
    <w:p w:rsidR="00214039" w:rsidRPr="00214039" w:rsidRDefault="0075276C" w:rsidP="00283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14039"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214039" w:rsidRPr="00214039" w:rsidRDefault="00214039" w:rsidP="002838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39" w:rsidRDefault="00214039" w:rsidP="00752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57" w:rsidRPr="00A23157" w:rsidRDefault="00A23157" w:rsidP="00A23157">
      <w:pPr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A23157" w:rsidRPr="00690906" w:rsidRDefault="00A23157" w:rsidP="00A231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906">
        <w:rPr>
          <w:rFonts w:ascii="Times New Roman" w:hAnsi="Times New Roman" w:cs="Times New Roman"/>
          <w:sz w:val="28"/>
          <w:szCs w:val="28"/>
        </w:rPr>
        <w:t>Утвердить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690906" w:rsidRPr="00690906">
        <w:rPr>
          <w:rFonts w:ascii="Times New Roman" w:hAnsi="Times New Roman" w:cs="Times New Roman"/>
          <w:sz w:val="28"/>
          <w:szCs w:val="28"/>
        </w:rPr>
        <w:t>м</w:t>
      </w:r>
      <w:r w:rsidR="007947DC" w:rsidRPr="00690906">
        <w:rPr>
          <w:rFonts w:ascii="Times New Roman" w:hAnsi="Times New Roman" w:cs="Times New Roman"/>
          <w:sz w:val="28"/>
          <w:szCs w:val="28"/>
        </w:rPr>
        <w:t>етодику</w:t>
      </w:r>
      <w:r w:rsidR="00690906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 w:rsidR="006209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F6B4B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="00620933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F6B4B"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="007947DC" w:rsidRPr="00690906">
        <w:rPr>
          <w:rFonts w:ascii="Times New Roman" w:hAnsi="Times New Roman" w:cs="Times New Roman"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620933">
        <w:rPr>
          <w:rFonts w:ascii="Times New Roman" w:hAnsi="Times New Roman" w:cs="Times New Roman"/>
          <w:sz w:val="28"/>
          <w:szCs w:val="28"/>
        </w:rPr>
        <w:t>,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Администраци</w:t>
      </w:r>
      <w:r w:rsidR="0035438D">
        <w:rPr>
          <w:rFonts w:ascii="Times New Roman" w:hAnsi="Times New Roman" w:cs="Times New Roman"/>
          <w:sz w:val="28"/>
          <w:szCs w:val="28"/>
        </w:rPr>
        <w:t>я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0933">
        <w:rPr>
          <w:rFonts w:ascii="Times New Roman" w:hAnsi="Times New Roman" w:cs="Times New Roman"/>
          <w:sz w:val="28"/>
          <w:szCs w:val="28"/>
        </w:rPr>
        <w:t xml:space="preserve"> </w:t>
      </w:r>
      <w:r w:rsidR="008F6B4B">
        <w:rPr>
          <w:rFonts w:ascii="Times New Roman" w:hAnsi="Times New Roman" w:cs="Times New Roman"/>
          <w:sz w:val="28"/>
          <w:szCs w:val="28"/>
        </w:rPr>
        <w:t>Шестаковский</w:t>
      </w:r>
      <w:r w:rsidR="006209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8F6B4B"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="007947DC" w:rsidRPr="00690906">
        <w:rPr>
          <w:rFonts w:ascii="Times New Roman" w:hAnsi="Times New Roman" w:cs="Times New Roman"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69090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5438D" w:rsidRDefault="00A23157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A50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7374B">
        <w:rPr>
          <w:rFonts w:ascii="Times New Roman" w:eastAsia="Calibri" w:hAnsi="Times New Roman" w:cs="Times New Roman"/>
          <w:sz w:val="28"/>
          <w:szCs w:val="28"/>
        </w:rPr>
        <w:t>Шестаковский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04D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67374B">
        <w:rPr>
          <w:rFonts w:ascii="Times New Roman" w:eastAsia="Calibri" w:hAnsi="Times New Roman" w:cs="Times New Roman"/>
          <w:sz w:val="28"/>
          <w:szCs w:val="28"/>
        </w:rPr>
        <w:t xml:space="preserve">Ташлинского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>район</w:t>
      </w:r>
      <w:r w:rsidR="005A504D">
        <w:rPr>
          <w:rFonts w:ascii="Times New Roman" w:eastAsia="Calibri" w:hAnsi="Times New Roman" w:cs="Times New Roman"/>
          <w:sz w:val="28"/>
          <w:szCs w:val="28"/>
        </w:rPr>
        <w:t>а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</w:t>
      </w:r>
      <w:r w:rsidR="005A504D">
        <w:rPr>
          <w:rFonts w:ascii="Times New Roman" w:hAnsi="Times New Roman" w:cs="Times New Roman"/>
          <w:sz w:val="28"/>
          <w:szCs w:val="28"/>
        </w:rPr>
        <w:t xml:space="preserve"> от</w:t>
      </w:r>
      <w:r w:rsidR="001E1DC3">
        <w:rPr>
          <w:rFonts w:ascii="Times New Roman" w:hAnsi="Times New Roman" w:cs="Times New Roman"/>
          <w:sz w:val="28"/>
          <w:szCs w:val="28"/>
        </w:rPr>
        <w:t xml:space="preserve"> 12.11.2021 г</w:t>
      </w:r>
      <w:r w:rsidR="005A504D">
        <w:rPr>
          <w:rFonts w:ascii="Times New Roman" w:hAnsi="Times New Roman" w:cs="Times New Roman"/>
          <w:sz w:val="28"/>
          <w:szCs w:val="28"/>
        </w:rPr>
        <w:t xml:space="preserve">  №</w:t>
      </w:r>
      <w:r w:rsidR="001E1DC3">
        <w:rPr>
          <w:rFonts w:ascii="Times New Roman" w:hAnsi="Times New Roman" w:cs="Times New Roman"/>
          <w:sz w:val="28"/>
          <w:szCs w:val="28"/>
        </w:rPr>
        <w:t xml:space="preserve"> 92-п</w:t>
      </w:r>
      <w:proofErr w:type="gramStart"/>
      <w:r w:rsidR="001E1DC3">
        <w:rPr>
          <w:rFonts w:ascii="Times New Roman" w:hAnsi="Times New Roman" w:cs="Times New Roman"/>
          <w:sz w:val="28"/>
          <w:szCs w:val="28"/>
        </w:rPr>
        <w:t xml:space="preserve"> </w:t>
      </w:r>
      <w:r w:rsidR="00611328" w:rsidRPr="006113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11328" w:rsidRPr="00611328">
        <w:rPr>
          <w:rFonts w:ascii="Times New Roman" w:hAnsi="Times New Roman" w:cs="Times New Roman"/>
          <w:sz w:val="28"/>
          <w:szCs w:val="28"/>
        </w:rPr>
        <w:t>б утверждении методики прогнозирования поступления доходов в местный бюджет Муниципального образования</w:t>
      </w:r>
      <w:r w:rsidR="008F6B4B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="00611328" w:rsidRPr="00611328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="008F6B4B">
        <w:rPr>
          <w:rFonts w:ascii="Times New Roman" w:hAnsi="Times New Roman" w:cs="Times New Roman"/>
          <w:sz w:val="28"/>
          <w:szCs w:val="28"/>
        </w:rPr>
        <w:t>Ташлинского</w:t>
      </w:r>
      <w:r w:rsidR="00611328" w:rsidRPr="006113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611328" w:rsidRPr="00611328" w:rsidRDefault="00611328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100B6A"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 w:rsidR="00100B6A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157">
        <w:rPr>
          <w:rFonts w:ascii="Times New Roman" w:hAnsi="Times New Roman" w:cs="Times New Roman"/>
          <w:sz w:val="28"/>
          <w:szCs w:val="28"/>
        </w:rPr>
        <w:t>правоотношени</w:t>
      </w:r>
      <w:r w:rsidR="00100B6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00B6A">
        <w:rPr>
          <w:rFonts w:ascii="Times New Roman" w:hAnsi="Times New Roman" w:cs="Times New Roman"/>
          <w:sz w:val="28"/>
          <w:szCs w:val="28"/>
        </w:rPr>
        <w:t>шие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с 01.01.2022года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A23157" w:rsidRPr="00A23157" w:rsidRDefault="00611328" w:rsidP="0061132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DC" w:rsidRDefault="007947DC" w:rsidP="0061132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1328" w:rsidRPr="00611328" w:rsidRDefault="00611328" w:rsidP="006113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                               </w:t>
      </w:r>
      <w:r w:rsidR="005F5504">
        <w:rPr>
          <w:rFonts w:ascii="Times New Roman" w:eastAsia="Calibri" w:hAnsi="Times New Roman" w:cs="Times New Roman"/>
          <w:sz w:val="28"/>
          <w:szCs w:val="28"/>
          <w:lang w:eastAsia="en-US"/>
        </w:rPr>
        <w:t>Р.И. Халитова</w:t>
      </w: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690906" w:rsidRDefault="00690906" w:rsidP="0069090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DC3" w:rsidRDefault="001E1DC3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481" w:rsidRDefault="00AE6481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481" w:rsidRDefault="00AE6481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481" w:rsidRDefault="00AE6481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039" w:rsidRPr="00283880" w:rsidRDefault="00214039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214039" w:rsidRPr="00283880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F5504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504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1DC3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5504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540A0A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1E1DC3" w:rsidRPr="002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31-п</w:t>
      </w:r>
    </w:p>
    <w:p w:rsidR="007947DC" w:rsidRPr="00283880" w:rsidRDefault="00794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8F6B4B">
        <w:rPr>
          <w:rFonts w:ascii="Times New Roman" w:hAnsi="Times New Roman" w:cs="Times New Roman"/>
          <w:b/>
          <w:sz w:val="28"/>
          <w:szCs w:val="28"/>
        </w:rPr>
        <w:t xml:space="preserve"> Шестаковский </w:t>
      </w:r>
      <w:r w:rsidR="009C10C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724176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B4B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1.1.Настоящая методика прогнозирования поступлений доходов в бюджет муниципального образования</w:t>
      </w:r>
      <w:r w:rsidR="005B0E3B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="009C10CA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5B0E3B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8F6B4B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="009C10CA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усреднение - расчет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 Методика прогнозирования предусматривает использование при расчете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 w:rsidRPr="005A6297">
        <w:rPr>
          <w:rFonts w:ascii="Times New Roman" w:hAnsi="Times New Roman" w:cs="Times New Roman"/>
          <w:sz w:val="28"/>
          <w:szCs w:val="28"/>
        </w:rPr>
        <w:t xml:space="preserve"> 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5A6297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  </w:t>
      </w:r>
      <w:r w:rsidR="00FA2F05"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</w:t>
      </w:r>
      <w:r w:rsidR="0068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21298" w:rsidRPr="009F1F1D" w:rsidRDefault="00721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595AE0" w:rsidRPr="009F1F1D" w:rsidTr="003E1DA3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EE4E59" w:rsidRPr="00CD0A93" w:rsidRDefault="00EE4E59" w:rsidP="00EE4E5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EE4E59" w:rsidRPr="00EE4E59" w:rsidRDefault="00EE4E59" w:rsidP="00100B6A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8F6B4B">
              <w:rPr>
                <w:rFonts w:ascii="Times New Roman" w:hAnsi="Times New Roman" w:cs="Times New Roman"/>
                <w:sz w:val="16"/>
                <w:szCs w:val="16"/>
              </w:rPr>
              <w:t xml:space="preserve">Шестаковский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 w:rsidR="00100B6A"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EE4E59" w:rsidRPr="006367D1" w:rsidRDefault="000339B1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  <w:lang w:eastAsia="en-US"/>
              </w:rPr>
              <w:t>Дпп=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en-US"/>
              </w:rPr>
              <w:t>(Д1ф+Д2ф+Д3ф</w:t>
            </w:r>
            <w:r w:rsidR="006367D1">
              <w:rPr>
                <w:rFonts w:eastAsia="Calibri" w:cs="Times New Roman"/>
                <w:sz w:val="16"/>
                <w:szCs w:val="16"/>
                <w:lang w:eastAsia="en-US"/>
              </w:rPr>
              <w:t>)/3</w:t>
            </w:r>
          </w:p>
        </w:tc>
        <w:tc>
          <w:tcPr>
            <w:tcW w:w="2127" w:type="dxa"/>
          </w:tcPr>
          <w:p w:rsidR="006367D1" w:rsidRPr="006367D1" w:rsidRDefault="006367D1" w:rsidP="0063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EE4E59" w:rsidRPr="007D55BD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Дпп</w:t>
            </w:r>
            <w:proofErr w:type="spellEnd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прогнозируемая сумма поступлений;</w:t>
            </w:r>
          </w:p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Д1ф, Д2ф</w:t>
            </w:r>
            <w:proofErr w:type="gramStart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,Д</w:t>
            </w:r>
            <w:proofErr w:type="gramEnd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- 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предшествующих текущему году;</w:t>
            </w:r>
          </w:p>
          <w:p w:rsidR="00EE4E59" w:rsidRPr="007D55BD" w:rsidRDefault="00EE4E59" w:rsidP="007D55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EE4E59" w:rsidRDefault="00EE4E59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EE4E59" w:rsidRDefault="00100B6A" w:rsidP="00100B6A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8F6B4B">
              <w:rPr>
                <w:rFonts w:ascii="Times New Roman" w:hAnsi="Times New Roman" w:cs="Times New Roman"/>
                <w:sz w:val="16"/>
                <w:szCs w:val="16"/>
              </w:rPr>
              <w:t xml:space="preserve">Шестаковский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E59"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E4E59" w:rsidRPr="00F1592A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EE4E59" w:rsidRDefault="008D2952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8F6B4B">
              <w:rPr>
                <w:rFonts w:ascii="Times New Roman" w:hAnsi="Times New Roman" w:cs="Times New Roman"/>
                <w:sz w:val="16"/>
                <w:szCs w:val="16"/>
              </w:rPr>
              <w:t>Шестаковский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8D2952" w:rsidRDefault="008D2952" w:rsidP="00973616">
            <w:pPr>
              <w:pStyle w:val="a5"/>
              <w:jc w:val="left"/>
            </w:pPr>
            <w:proofErr w:type="gramStart"/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  <w:proofErr w:type="gramEnd"/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276A26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5D4349" w:rsidRDefault="00AA2F60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8F6B4B">
              <w:rPr>
                <w:rFonts w:ascii="Times New Roman" w:hAnsi="Times New Roman" w:cs="Times New Roman"/>
                <w:sz w:val="16"/>
                <w:szCs w:val="16"/>
              </w:rPr>
              <w:t xml:space="preserve">Шестаковский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8D2952" w:rsidRPr="00973616" w:rsidRDefault="008D2952" w:rsidP="00973616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находящее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ся в оперативном управлении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rPr>
          <w:trHeight w:val="1538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8D2952" w:rsidRPr="003E1DA3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Д= (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proofErr w:type="gram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(нас) )*Ик</w:t>
            </w:r>
          </w:p>
        </w:tc>
        <w:tc>
          <w:tcPr>
            <w:tcW w:w="2127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rPr>
          <w:trHeight w:val="1211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907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8D2952" w:rsidRPr="004A52B3" w:rsidRDefault="008D2952" w:rsidP="004A52B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A52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8D2952" w:rsidRPr="00E47243" w:rsidRDefault="008D2952" w:rsidP="00E4724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8D2952" w:rsidRPr="00E16254" w:rsidRDefault="008D2952" w:rsidP="00E162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Ф</w:t>
            </w:r>
            <w:proofErr w:type="gram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+Ф2</w:t>
            </w:r>
          </w:p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8D2952" w:rsidRDefault="008D2952" w:rsidP="00E16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сельских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724D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C96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8D2952" w:rsidRPr="00C9601F" w:rsidRDefault="008D2952" w:rsidP="00C9601F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49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8E7E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 w:rsidR="008F6B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АШЛИНСКОГО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</w:t>
            </w:r>
            <w:bookmarkStart w:id="0" w:name="_GoBack"/>
            <w:bookmarkEnd w:id="0"/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13F5A"/>
    <w:rsid w:val="0002794D"/>
    <w:rsid w:val="000339B1"/>
    <w:rsid w:val="00093F89"/>
    <w:rsid w:val="000D1308"/>
    <w:rsid w:val="00100B6A"/>
    <w:rsid w:val="00137870"/>
    <w:rsid w:val="00157988"/>
    <w:rsid w:val="00167AE9"/>
    <w:rsid w:val="00177DAA"/>
    <w:rsid w:val="001A1240"/>
    <w:rsid w:val="001B5751"/>
    <w:rsid w:val="001B7B2E"/>
    <w:rsid w:val="001E1DC3"/>
    <w:rsid w:val="00214039"/>
    <w:rsid w:val="00267240"/>
    <w:rsid w:val="00283880"/>
    <w:rsid w:val="002A1B1F"/>
    <w:rsid w:val="002C1182"/>
    <w:rsid w:val="002C5971"/>
    <w:rsid w:val="002D4478"/>
    <w:rsid w:val="003043E6"/>
    <w:rsid w:val="0031629C"/>
    <w:rsid w:val="0034387E"/>
    <w:rsid w:val="0035438D"/>
    <w:rsid w:val="00363D2F"/>
    <w:rsid w:val="003B3521"/>
    <w:rsid w:val="003C791B"/>
    <w:rsid w:val="003E1DA3"/>
    <w:rsid w:val="003F0C4B"/>
    <w:rsid w:val="00436E30"/>
    <w:rsid w:val="00437202"/>
    <w:rsid w:val="00440EDF"/>
    <w:rsid w:val="00465ACC"/>
    <w:rsid w:val="0048251E"/>
    <w:rsid w:val="004936E5"/>
    <w:rsid w:val="004A52B3"/>
    <w:rsid w:val="004D07D0"/>
    <w:rsid w:val="00521E8F"/>
    <w:rsid w:val="0053012A"/>
    <w:rsid w:val="00540A0A"/>
    <w:rsid w:val="00576C4B"/>
    <w:rsid w:val="00592DE8"/>
    <w:rsid w:val="00595AE0"/>
    <w:rsid w:val="005A3CCE"/>
    <w:rsid w:val="005A504D"/>
    <w:rsid w:val="005A6297"/>
    <w:rsid w:val="005B0E3B"/>
    <w:rsid w:val="005B7A1B"/>
    <w:rsid w:val="005E0B92"/>
    <w:rsid w:val="005F5504"/>
    <w:rsid w:val="00611328"/>
    <w:rsid w:val="00620933"/>
    <w:rsid w:val="00635AC8"/>
    <w:rsid w:val="006367D1"/>
    <w:rsid w:val="006465D6"/>
    <w:rsid w:val="00651065"/>
    <w:rsid w:val="0067374B"/>
    <w:rsid w:val="00681D28"/>
    <w:rsid w:val="00690906"/>
    <w:rsid w:val="00690CA4"/>
    <w:rsid w:val="006B7C2D"/>
    <w:rsid w:val="006C3491"/>
    <w:rsid w:val="006D1A9B"/>
    <w:rsid w:val="006F0BB2"/>
    <w:rsid w:val="00705925"/>
    <w:rsid w:val="0071672A"/>
    <w:rsid w:val="00721298"/>
    <w:rsid w:val="00724176"/>
    <w:rsid w:val="00724DF7"/>
    <w:rsid w:val="007325D9"/>
    <w:rsid w:val="00745373"/>
    <w:rsid w:val="0075276C"/>
    <w:rsid w:val="007655AF"/>
    <w:rsid w:val="00793D8F"/>
    <w:rsid w:val="007947DC"/>
    <w:rsid w:val="007A7BA6"/>
    <w:rsid w:val="007B2BCB"/>
    <w:rsid w:val="007D55BD"/>
    <w:rsid w:val="007E54C1"/>
    <w:rsid w:val="00812BBB"/>
    <w:rsid w:val="00814D85"/>
    <w:rsid w:val="00870F9E"/>
    <w:rsid w:val="008A5D74"/>
    <w:rsid w:val="008D09CC"/>
    <w:rsid w:val="008D2952"/>
    <w:rsid w:val="008D5D8A"/>
    <w:rsid w:val="008E7E1A"/>
    <w:rsid w:val="008F6B4B"/>
    <w:rsid w:val="00907337"/>
    <w:rsid w:val="009473FF"/>
    <w:rsid w:val="0095042B"/>
    <w:rsid w:val="00973616"/>
    <w:rsid w:val="00980A9B"/>
    <w:rsid w:val="009A6E01"/>
    <w:rsid w:val="009B228B"/>
    <w:rsid w:val="009C10CA"/>
    <w:rsid w:val="009E338E"/>
    <w:rsid w:val="009F1F1D"/>
    <w:rsid w:val="00A23157"/>
    <w:rsid w:val="00AA2F60"/>
    <w:rsid w:val="00AA39FE"/>
    <w:rsid w:val="00AD0D1D"/>
    <w:rsid w:val="00AE6481"/>
    <w:rsid w:val="00B0623A"/>
    <w:rsid w:val="00B221D4"/>
    <w:rsid w:val="00B44695"/>
    <w:rsid w:val="00B4557C"/>
    <w:rsid w:val="00B82146"/>
    <w:rsid w:val="00BE2415"/>
    <w:rsid w:val="00BF6F88"/>
    <w:rsid w:val="00C40540"/>
    <w:rsid w:val="00C40E01"/>
    <w:rsid w:val="00C610C0"/>
    <w:rsid w:val="00C81F93"/>
    <w:rsid w:val="00C860C7"/>
    <w:rsid w:val="00C9601F"/>
    <w:rsid w:val="00CD0A93"/>
    <w:rsid w:val="00CD7C5A"/>
    <w:rsid w:val="00D01440"/>
    <w:rsid w:val="00D25A11"/>
    <w:rsid w:val="00D66BDC"/>
    <w:rsid w:val="00D95493"/>
    <w:rsid w:val="00E160B1"/>
    <w:rsid w:val="00E16254"/>
    <w:rsid w:val="00E47243"/>
    <w:rsid w:val="00EC55F4"/>
    <w:rsid w:val="00ED73F7"/>
    <w:rsid w:val="00EE4E59"/>
    <w:rsid w:val="00F02ACB"/>
    <w:rsid w:val="00F11978"/>
    <w:rsid w:val="00F1592A"/>
    <w:rsid w:val="00F33946"/>
    <w:rsid w:val="00F33A3D"/>
    <w:rsid w:val="00F536E8"/>
    <w:rsid w:val="00FA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1">
    <w:name w:val="heading 1"/>
    <w:basedOn w:val="a"/>
    <w:next w:val="a"/>
    <w:link w:val="10"/>
    <w:uiPriority w:val="9"/>
    <w:qFormat/>
    <w:rsid w:val="0075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customStyle="1" w:styleId="a5">
    <w:name w:val="Нормальный (таблица)"/>
    <w:basedOn w:val="a"/>
    <w:next w:val="a"/>
    <w:uiPriority w:val="99"/>
    <w:rsid w:val="004A52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пк</cp:lastModifiedBy>
  <cp:revision>4</cp:revision>
  <cp:lastPrinted>2022-03-21T07:50:00Z</cp:lastPrinted>
  <dcterms:created xsi:type="dcterms:W3CDTF">2022-03-21T07:56:00Z</dcterms:created>
  <dcterms:modified xsi:type="dcterms:W3CDTF">2022-03-29T04:52:00Z</dcterms:modified>
</cp:coreProperties>
</file>